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4F271" w14:textId="77777777" w:rsidR="0019716D" w:rsidRPr="00E066D5" w:rsidRDefault="00E847CC" w:rsidP="00E847CC">
      <w:pPr>
        <w:pStyle w:val="Topline16Pt"/>
        <w:rPr>
          <w:lang w:val="fr-FR"/>
        </w:rPr>
      </w:pPr>
      <w:r>
        <w:rPr>
          <w:lang w:val="fr-FR"/>
        </w:rPr>
        <w:t>Communiqué de presse</w:t>
      </w:r>
    </w:p>
    <w:p w14:paraId="2D95C493" w14:textId="6210EE6B" w:rsidR="00E847CC" w:rsidRPr="00E066D5" w:rsidRDefault="00E066D5" w:rsidP="00E847CC">
      <w:pPr>
        <w:pStyle w:val="HeadlineH233Pt"/>
        <w:spacing w:line="240" w:lineRule="auto"/>
        <w:rPr>
          <w:rFonts w:cs="Arial"/>
          <w:lang w:val="fr-FR"/>
        </w:rPr>
      </w:pPr>
      <w:r w:rsidRPr="00E066D5">
        <w:rPr>
          <w:rFonts w:cs="Arial"/>
          <w:bCs/>
          <w:lang w:val="fr-FR"/>
        </w:rPr>
        <w:t>Récupération tactique : la MLTB 1025</w:t>
      </w:r>
      <w:r w:rsidRPr="00E066D5">
        <w:rPr>
          <w:rFonts w:ascii="Cambria Math" w:hAnsi="Cambria Math" w:cs="Cambria Math"/>
          <w:bCs/>
          <w:lang w:val="fr-FR"/>
        </w:rPr>
        <w:t>‑</w:t>
      </w:r>
      <w:r w:rsidRPr="00E066D5">
        <w:rPr>
          <w:rFonts w:cs="Arial"/>
          <w:bCs/>
          <w:lang w:val="fr-FR"/>
        </w:rPr>
        <w:t>4.1 établit de nouvelles références dans les missions exigeantes</w:t>
      </w:r>
    </w:p>
    <w:p w14:paraId="65A307FA" w14:textId="77777777" w:rsidR="00B81ED6" w:rsidRPr="001F6805" w:rsidRDefault="00B81ED6" w:rsidP="00B81ED6">
      <w:pPr>
        <w:pStyle w:val="HeadlineH233Pt"/>
        <w:spacing w:before="240" w:after="240" w:line="140" w:lineRule="exact"/>
        <w:rPr>
          <w:rFonts w:ascii="Tahoma" w:hAnsi="Tahoma" w:cs="Tahoma"/>
        </w:rPr>
      </w:pPr>
      <w:r>
        <w:rPr>
          <w:rFonts w:ascii="Tahoma" w:hAnsi="Tahoma" w:cs="Tahoma"/>
          <w:bCs/>
          <w:lang w:val="fr-FR"/>
        </w:rPr>
        <w:t>⸺</w:t>
      </w:r>
    </w:p>
    <w:p w14:paraId="148F9C51" w14:textId="77777777" w:rsidR="00E066D5" w:rsidRPr="00E066D5" w:rsidRDefault="00E066D5" w:rsidP="00E066D5">
      <w:pPr>
        <w:pStyle w:val="Bulletpoints11Pt"/>
        <w:rPr>
          <w:bCs/>
          <w:lang w:val="fr-FR"/>
        </w:rPr>
      </w:pPr>
      <w:r w:rsidRPr="00E066D5">
        <w:rPr>
          <w:bCs/>
          <w:lang w:val="fr-FR"/>
        </w:rPr>
        <w:t>Mobilité tactique maximale : système de dépannage lourd de nouvelle génération de Liebherr pour les missions dans des conditions de combat modernes</w:t>
      </w:r>
    </w:p>
    <w:p w14:paraId="5A21C9E8" w14:textId="7B5DF717" w:rsidR="009A3D17" w:rsidRPr="00E066D5" w:rsidRDefault="00E066D5" w:rsidP="00E066D5">
      <w:pPr>
        <w:pStyle w:val="Bulletpoints11Pt"/>
        <w:rPr>
          <w:lang w:val="fr-FR"/>
        </w:rPr>
      </w:pPr>
      <w:r w:rsidRPr="00E066D5">
        <w:rPr>
          <w:bCs/>
          <w:lang w:val="fr-FR"/>
        </w:rPr>
        <w:t>Architecture de véhicule interopérable : compatible avec les grandes formations multinationales et les flottes mixtes de l</w:t>
      </w:r>
      <w:r>
        <w:rPr>
          <w:bCs/>
          <w:lang w:val="fr-FR"/>
        </w:rPr>
        <w:t>’</w:t>
      </w:r>
      <w:r w:rsidRPr="00E066D5">
        <w:rPr>
          <w:bCs/>
          <w:lang w:val="fr-FR"/>
        </w:rPr>
        <w:t>OTAN</w:t>
      </w:r>
    </w:p>
    <w:p w14:paraId="398FB001" w14:textId="48576919" w:rsidR="009A3D17" w:rsidRPr="00E90038" w:rsidRDefault="00E066D5" w:rsidP="009A3D17">
      <w:pPr>
        <w:pStyle w:val="Teaser11Pt"/>
        <w:rPr>
          <w:lang w:val="fr-FR"/>
        </w:rPr>
      </w:pPr>
      <w:r w:rsidRPr="00E066D5">
        <w:rPr>
          <w:bCs/>
          <w:lang w:val="fr-FR"/>
        </w:rPr>
        <w:t>À l’occasion du salon Eurosatory 2026, Liebherr présente la MLTB 1025</w:t>
      </w:r>
      <w:r w:rsidRPr="00E066D5">
        <w:rPr>
          <w:rFonts w:ascii="Cambria Math" w:hAnsi="Cambria Math" w:cs="Cambria Math"/>
          <w:bCs/>
          <w:lang w:val="fr-FR"/>
        </w:rPr>
        <w:t>‑</w:t>
      </w:r>
      <w:r w:rsidRPr="00E066D5">
        <w:rPr>
          <w:bCs/>
          <w:lang w:val="fr-FR"/>
        </w:rPr>
        <w:t>4.1, un v</w:t>
      </w:r>
      <w:r w:rsidRPr="00E066D5">
        <w:rPr>
          <w:rFonts w:cs="Arial"/>
          <w:bCs/>
          <w:lang w:val="fr-FR"/>
        </w:rPr>
        <w:t>é</w:t>
      </w:r>
      <w:r w:rsidRPr="00E066D5">
        <w:rPr>
          <w:bCs/>
          <w:lang w:val="fr-FR"/>
        </w:rPr>
        <w:t>hicule de d</w:t>
      </w:r>
      <w:r w:rsidRPr="00E066D5">
        <w:rPr>
          <w:rFonts w:cs="Arial"/>
          <w:bCs/>
          <w:lang w:val="fr-FR"/>
        </w:rPr>
        <w:t>é</w:t>
      </w:r>
      <w:r w:rsidRPr="00E066D5">
        <w:rPr>
          <w:bCs/>
          <w:lang w:val="fr-FR"/>
        </w:rPr>
        <w:t>pannage lourd hautement mobile destin</w:t>
      </w:r>
      <w:r w:rsidRPr="00E066D5">
        <w:rPr>
          <w:rFonts w:cs="Arial"/>
          <w:bCs/>
          <w:lang w:val="fr-FR"/>
        </w:rPr>
        <w:t>é</w:t>
      </w:r>
      <w:r w:rsidRPr="00E066D5">
        <w:rPr>
          <w:bCs/>
          <w:lang w:val="fr-FR"/>
        </w:rPr>
        <w:t xml:space="preserve"> aux missions de d</w:t>
      </w:r>
      <w:r w:rsidRPr="00E066D5">
        <w:rPr>
          <w:rFonts w:cs="Arial"/>
          <w:bCs/>
          <w:lang w:val="fr-FR"/>
        </w:rPr>
        <w:t>é</w:t>
      </w:r>
      <w:r w:rsidRPr="00E066D5">
        <w:rPr>
          <w:bCs/>
          <w:lang w:val="fr-FR"/>
        </w:rPr>
        <w:t>pannage tactiques et op</w:t>
      </w:r>
      <w:r w:rsidRPr="00E066D5">
        <w:rPr>
          <w:rFonts w:cs="Arial"/>
          <w:bCs/>
          <w:lang w:val="fr-FR"/>
        </w:rPr>
        <w:t>é</w:t>
      </w:r>
      <w:r w:rsidRPr="00E066D5">
        <w:rPr>
          <w:bCs/>
          <w:lang w:val="fr-FR"/>
        </w:rPr>
        <w:t>rationnelles dans des environnements de combat. Dot</w:t>
      </w:r>
      <w:r w:rsidRPr="00E066D5">
        <w:rPr>
          <w:rFonts w:cs="Arial"/>
          <w:bCs/>
          <w:lang w:val="fr-FR"/>
        </w:rPr>
        <w:t>é</w:t>
      </w:r>
      <w:r w:rsidRPr="00E066D5">
        <w:rPr>
          <w:bCs/>
          <w:lang w:val="fr-FR"/>
        </w:rPr>
        <w:t xml:space="preserve"> de capacit</w:t>
      </w:r>
      <w:r w:rsidRPr="00E066D5">
        <w:rPr>
          <w:rFonts w:cs="Arial"/>
          <w:bCs/>
          <w:lang w:val="fr-FR"/>
        </w:rPr>
        <w:t>é</w:t>
      </w:r>
      <w:r w:rsidRPr="00E066D5">
        <w:rPr>
          <w:bCs/>
          <w:lang w:val="fr-FR"/>
        </w:rPr>
        <w:t>s de d</w:t>
      </w:r>
      <w:r w:rsidRPr="00E066D5">
        <w:rPr>
          <w:rFonts w:cs="Arial"/>
          <w:bCs/>
          <w:lang w:val="fr-FR"/>
        </w:rPr>
        <w:t>é</w:t>
      </w:r>
      <w:r w:rsidRPr="00E066D5">
        <w:rPr>
          <w:bCs/>
          <w:lang w:val="fr-FR"/>
        </w:rPr>
        <w:t xml:space="preserve">pannage </w:t>
      </w:r>
      <w:r w:rsidRPr="00E066D5">
        <w:rPr>
          <w:rFonts w:cs="Arial"/>
          <w:bCs/>
          <w:lang w:val="fr-FR"/>
        </w:rPr>
        <w:t>é</w:t>
      </w:r>
      <w:r w:rsidRPr="00E066D5">
        <w:rPr>
          <w:bCs/>
          <w:lang w:val="fr-FR"/>
        </w:rPr>
        <w:t>tendues pour les v</w:t>
      </w:r>
      <w:r w:rsidRPr="00E066D5">
        <w:rPr>
          <w:rFonts w:cs="Arial"/>
          <w:bCs/>
          <w:lang w:val="fr-FR"/>
        </w:rPr>
        <w:t>é</w:t>
      </w:r>
      <w:r w:rsidRPr="00E066D5">
        <w:rPr>
          <w:bCs/>
          <w:lang w:val="fr-FR"/>
        </w:rPr>
        <w:t>hicules endommag</w:t>
      </w:r>
      <w:r w:rsidRPr="00E066D5">
        <w:rPr>
          <w:rFonts w:cs="Arial"/>
          <w:bCs/>
          <w:lang w:val="fr-FR"/>
        </w:rPr>
        <w:t>é</w:t>
      </w:r>
      <w:r w:rsidRPr="00E066D5">
        <w:rPr>
          <w:bCs/>
          <w:lang w:val="fr-FR"/>
        </w:rPr>
        <w:t>s ou immobilis</w:t>
      </w:r>
      <w:r w:rsidRPr="00E066D5">
        <w:rPr>
          <w:rFonts w:cs="Arial"/>
          <w:bCs/>
          <w:lang w:val="fr-FR"/>
        </w:rPr>
        <w:t>é</w:t>
      </w:r>
      <w:r w:rsidRPr="00E066D5">
        <w:rPr>
          <w:bCs/>
          <w:lang w:val="fr-FR"/>
        </w:rPr>
        <w:t>s, le MLTB soutient aussi bien les op</w:t>
      </w:r>
      <w:r w:rsidRPr="00E066D5">
        <w:rPr>
          <w:rFonts w:cs="Arial"/>
          <w:bCs/>
          <w:lang w:val="fr-FR"/>
        </w:rPr>
        <w:t>é</w:t>
      </w:r>
      <w:r w:rsidRPr="00E066D5">
        <w:rPr>
          <w:bCs/>
          <w:lang w:val="fr-FR"/>
        </w:rPr>
        <w:t>rations militaires que les missions civiles telles que l</w:t>
      </w:r>
      <w:r w:rsidRPr="00E066D5">
        <w:rPr>
          <w:rFonts w:cs="Arial"/>
          <w:bCs/>
          <w:lang w:val="fr-FR"/>
        </w:rPr>
        <w:t>’</w:t>
      </w:r>
      <w:r w:rsidRPr="00E066D5">
        <w:rPr>
          <w:bCs/>
          <w:lang w:val="fr-FR"/>
        </w:rPr>
        <w:t xml:space="preserve">aide en cas de catastrophe et la remise en </w:t>
      </w:r>
      <w:r w:rsidRPr="00E066D5">
        <w:rPr>
          <w:rFonts w:cs="Arial"/>
          <w:bCs/>
          <w:lang w:val="fr-FR"/>
        </w:rPr>
        <w:t>é</w:t>
      </w:r>
      <w:r w:rsidRPr="00E066D5">
        <w:rPr>
          <w:bCs/>
          <w:lang w:val="fr-FR"/>
        </w:rPr>
        <w:t>tat des infrastructures</w:t>
      </w:r>
      <w:r w:rsidR="009A3D17">
        <w:rPr>
          <w:bCs/>
          <w:lang w:val="fr-FR"/>
        </w:rPr>
        <w:t>.</w:t>
      </w:r>
    </w:p>
    <w:p w14:paraId="007D8FC0" w14:textId="3A3CFDB2" w:rsidR="00E066D5" w:rsidRPr="00BE60D8" w:rsidRDefault="00E066D5" w:rsidP="00E066D5">
      <w:pPr>
        <w:pStyle w:val="Copytext11Pt"/>
        <w:rPr>
          <w:lang w:val="fr-FR"/>
        </w:rPr>
      </w:pPr>
      <w:r w:rsidRPr="00BE60D8">
        <w:rPr>
          <w:lang w:val="fr-FR"/>
        </w:rPr>
        <w:t>Ehingen (</w:t>
      </w:r>
      <w:r>
        <w:rPr>
          <w:lang w:val="fr-FR"/>
        </w:rPr>
        <w:t>Donau</w:t>
      </w:r>
      <w:r w:rsidRPr="00BE60D8">
        <w:rPr>
          <w:lang w:val="fr-FR"/>
        </w:rPr>
        <w:t xml:space="preserve">) (Allemagne), 14 juin 2026 – Lors du salon </w:t>
      </w:r>
      <w:proofErr w:type="spellStart"/>
      <w:r w:rsidRPr="00BE60D8">
        <w:rPr>
          <w:lang w:val="fr-FR"/>
        </w:rPr>
        <w:t>Eurosatory</w:t>
      </w:r>
      <w:proofErr w:type="spellEnd"/>
      <w:r w:rsidRPr="00BE60D8">
        <w:rPr>
          <w:lang w:val="fr-FR"/>
        </w:rPr>
        <w:t xml:space="preserve"> 2026, Liebherr présente l</w:t>
      </w:r>
      <w:r>
        <w:rPr>
          <w:lang w:val="fr-FR"/>
        </w:rPr>
        <w:t>a</w:t>
      </w:r>
      <w:r w:rsidRPr="00BE60D8">
        <w:rPr>
          <w:lang w:val="fr-FR"/>
        </w:rPr>
        <w:t xml:space="preserve"> MLTB 1025-4.1, soulignant ainsi l’importance croissante des capacités de dépannage dans la conduite des opérations terrestres modernes. Le dépannage n'est plus depuis longtemps une simple tâche logistique : il s'agit d'un facteur décisif pour la disponibilité et la rapidité d'intervention des forces opérationnelles. L</w:t>
      </w:r>
      <w:r>
        <w:rPr>
          <w:lang w:val="fr-FR"/>
        </w:rPr>
        <w:t>a</w:t>
      </w:r>
      <w:r w:rsidRPr="00BE60D8">
        <w:rPr>
          <w:lang w:val="fr-FR"/>
        </w:rPr>
        <w:t xml:space="preserve"> MLTB 1025-4.1 est un véhicule de dépannage lourd et hautement mobile, conçu pour les opérations militaires dans des environnements de combat. Conçu pour les interventions sous pression, sur des terrains complexes et en situation de menace, ce véhicule à quatre essieux garantit que les véhicules immobilisés soient évacués rapidement et de manière contrôlée de la zone de combat.</w:t>
      </w:r>
    </w:p>
    <w:p w14:paraId="6C005E5D" w14:textId="77777777" w:rsidR="00E066D5" w:rsidRPr="00BE60D8" w:rsidRDefault="00E066D5" w:rsidP="00E066D5">
      <w:pPr>
        <w:pStyle w:val="Copytext11Pt"/>
        <w:rPr>
          <w:lang w:val="fr-FR"/>
        </w:rPr>
      </w:pPr>
      <w:r w:rsidRPr="00BE60D8">
        <w:rPr>
          <w:lang w:val="fr-FR"/>
        </w:rPr>
        <w:t>Ce véhicule de dépannage allie une grande portée opérationnelle, une excellente aptitude tout-terrain et une architecture robuste. Même sur des terrains difficiles d'accès et dans des conditions tactiques complexes, l</w:t>
      </w:r>
      <w:r>
        <w:rPr>
          <w:lang w:val="fr-FR"/>
        </w:rPr>
        <w:t>a</w:t>
      </w:r>
      <w:r w:rsidRPr="00BE60D8">
        <w:rPr>
          <w:lang w:val="fr-FR"/>
        </w:rPr>
        <w:t xml:space="preserve"> MLTB facilite le dépannage, le remorquage et le levage de véhicules à roues et à chenilles. De plus, cette plateforme polyvalente est conçue pour garantir un haut niveau d'interopérabilité au sein de flottes mixtes et multinationales.</w:t>
      </w:r>
    </w:p>
    <w:p w14:paraId="6530F6AB" w14:textId="77777777" w:rsidR="00E066D5" w:rsidRPr="00BE60D8" w:rsidRDefault="00E066D5" w:rsidP="00E066D5">
      <w:pPr>
        <w:pStyle w:val="Copytext11Pt"/>
        <w:rPr>
          <w:b/>
          <w:bCs/>
          <w:lang w:val="fr-FR"/>
        </w:rPr>
      </w:pPr>
      <w:r>
        <w:rPr>
          <w:b/>
          <w:bCs/>
          <w:lang w:val="fr-FR"/>
        </w:rPr>
        <w:t xml:space="preserve">Quand </w:t>
      </w:r>
      <w:r w:rsidRPr="00BE60D8">
        <w:rPr>
          <w:b/>
          <w:bCs/>
          <w:lang w:val="fr-FR"/>
        </w:rPr>
        <w:t>Le dépannage</w:t>
      </w:r>
      <w:r>
        <w:rPr>
          <w:b/>
          <w:bCs/>
          <w:lang w:val="fr-FR"/>
        </w:rPr>
        <w:t xml:space="preserve"> est essentiel</w:t>
      </w:r>
    </w:p>
    <w:p w14:paraId="52223F2D" w14:textId="5203F3D9" w:rsidR="00E066D5" w:rsidRPr="00BE60D8" w:rsidRDefault="00E066D5" w:rsidP="00E066D5">
      <w:pPr>
        <w:pStyle w:val="Copytext11Pt"/>
        <w:rPr>
          <w:b/>
          <w:lang w:val="fr-FR"/>
        </w:rPr>
      </w:pPr>
      <w:r w:rsidRPr="00BE60D8">
        <w:rPr>
          <w:lang w:val="fr-FR"/>
        </w:rPr>
        <w:t xml:space="preserve">Les deux treuils </w:t>
      </w:r>
      <w:proofErr w:type="spellStart"/>
      <w:r w:rsidRPr="00BE60D8">
        <w:rPr>
          <w:lang w:val="fr-FR"/>
        </w:rPr>
        <w:t>Rotzler</w:t>
      </w:r>
      <w:proofErr w:type="spellEnd"/>
      <w:r w:rsidRPr="00BE60D8">
        <w:rPr>
          <w:lang w:val="fr-FR"/>
        </w:rPr>
        <w:t xml:space="preserve"> situés à l'arrière constituent l'élément central d</w:t>
      </w:r>
      <w:r>
        <w:rPr>
          <w:lang w:val="fr-FR"/>
        </w:rPr>
        <w:t>e la</w:t>
      </w:r>
      <w:r w:rsidRPr="00BE60D8">
        <w:rPr>
          <w:lang w:val="fr-FR"/>
        </w:rPr>
        <w:t xml:space="preserve"> MLTB 1025-4.1. Ils permettent un sauvetage rapide et fiable dès l'arrivée sur le lieu d'intervention. Une commande à </w:t>
      </w:r>
      <w:r w:rsidRPr="00BE60D8">
        <w:rPr>
          <w:lang w:val="fr-FR"/>
        </w:rPr>
        <w:lastRenderedPageBreak/>
        <w:t>distance synchronisée du système de treuils garantit des opérations de sauvetage précises et coordonnées et contribue à réduire au minimum la durée de l'intervention dans des situations de danger.</w:t>
      </w:r>
    </w:p>
    <w:p w14:paraId="06DE79D7" w14:textId="77777777" w:rsidR="00E066D5" w:rsidRPr="00BE60D8" w:rsidRDefault="00E066D5" w:rsidP="00E066D5">
      <w:pPr>
        <w:pStyle w:val="Copyhead11Pt"/>
        <w:rPr>
          <w:lang w:val="fr-FR"/>
        </w:rPr>
      </w:pPr>
      <w:r w:rsidRPr="00BE60D8">
        <w:rPr>
          <w:lang w:val="fr-FR"/>
        </w:rPr>
        <w:t>Protection, disponibilité et assistance tout au long du cycle de vie</w:t>
      </w:r>
    </w:p>
    <w:p w14:paraId="1FF4F471" w14:textId="77777777" w:rsidR="00E066D5" w:rsidRPr="00BE60D8" w:rsidRDefault="00E066D5" w:rsidP="00E066D5">
      <w:pPr>
        <w:pStyle w:val="Copytext11Pt"/>
        <w:rPr>
          <w:lang w:val="fr-FR"/>
        </w:rPr>
      </w:pPr>
      <w:r w:rsidRPr="00BE60D8">
        <w:rPr>
          <w:lang w:val="fr-FR"/>
        </w:rPr>
        <w:t>Des versions blindées en option de la cabine du conducteur et de la cabine</w:t>
      </w:r>
      <w:r>
        <w:rPr>
          <w:lang w:val="fr-FR"/>
        </w:rPr>
        <w:t xml:space="preserve"> tourelle</w:t>
      </w:r>
      <w:r w:rsidRPr="00BE60D8">
        <w:rPr>
          <w:lang w:val="fr-FR"/>
        </w:rPr>
        <w:t xml:space="preserve"> renforcent la sécurité de l’équipage et permettent des interventions même en cas de menace accrue. Une grande longévité et une facilité d’entretien dans des conditions d’utilisation exigeantes caractérisent en outre cet</w:t>
      </w:r>
      <w:r>
        <w:rPr>
          <w:lang w:val="fr-FR"/>
        </w:rPr>
        <w:t xml:space="preserve"> engin</w:t>
      </w:r>
      <w:r w:rsidRPr="00BE60D8">
        <w:rPr>
          <w:lang w:val="fr-FR"/>
        </w:rPr>
        <w:t xml:space="preserve"> polyvalent. Un réseau de service mondial constitue la base d’un soutien tout au long du cycle de vie et d’une haute disponibilité sur l’ensemble de ce dernier. L</w:t>
      </w:r>
      <w:r>
        <w:rPr>
          <w:lang w:val="fr-FR"/>
        </w:rPr>
        <w:t>a</w:t>
      </w:r>
      <w:r w:rsidRPr="00BE60D8">
        <w:rPr>
          <w:lang w:val="fr-FR"/>
        </w:rPr>
        <w:t xml:space="preserve"> MLTB 1025-4.1 contribue directement à la réussite des missions en permettant le dépannage rapide des véhicules et le rétablissement de leur capacité opérationnelle – tant en situation de combat que lors de crises civiles et d’opérations de secours en cas de catastrophe.</w:t>
      </w:r>
    </w:p>
    <w:p w14:paraId="7E863C2F" w14:textId="77777777" w:rsidR="00E066D5" w:rsidRPr="009F2CA5" w:rsidRDefault="00E066D5" w:rsidP="00E066D5">
      <w:pPr>
        <w:spacing w:after="240" w:line="240" w:lineRule="exact"/>
        <w:rPr>
          <w:rFonts w:ascii="Arial" w:eastAsia="Times New Roman" w:hAnsi="Arial" w:cs="Arial"/>
          <w:b/>
          <w:sz w:val="18"/>
          <w:szCs w:val="18"/>
        </w:rPr>
      </w:pPr>
      <w:bookmarkStart w:id="0" w:name="_Hlk163736947"/>
      <w:r w:rsidRPr="009F2CA5">
        <w:rPr>
          <w:rFonts w:ascii="Arial" w:hAnsi="Arial"/>
          <w:b/>
          <w:sz w:val="18"/>
        </w:rPr>
        <w:t xml:space="preserve">À </w:t>
      </w:r>
      <w:proofErr w:type="spellStart"/>
      <w:r w:rsidRPr="009F2CA5">
        <w:rPr>
          <w:rFonts w:ascii="Arial" w:hAnsi="Arial"/>
          <w:b/>
          <w:sz w:val="18"/>
        </w:rPr>
        <w:t>propos</w:t>
      </w:r>
      <w:proofErr w:type="spellEnd"/>
      <w:r w:rsidRPr="009F2CA5">
        <w:rPr>
          <w:rFonts w:ascii="Arial" w:hAnsi="Arial"/>
          <w:b/>
          <w:sz w:val="18"/>
        </w:rPr>
        <w:t xml:space="preserve"> de Liebherr-Werk Ehingen GmbH</w:t>
      </w:r>
    </w:p>
    <w:p w14:paraId="0AF0263B" w14:textId="66AE0110" w:rsidR="009A3D17" w:rsidRPr="00E066D5" w:rsidRDefault="00E066D5" w:rsidP="00E066D5">
      <w:pPr>
        <w:spacing w:after="240" w:line="240" w:lineRule="exact"/>
        <w:rPr>
          <w:rFonts w:ascii="Arial" w:eastAsia="Times New Roman" w:hAnsi="Arial" w:cs="Arial"/>
          <w:sz w:val="18"/>
          <w:szCs w:val="18"/>
          <w:lang w:val="fr-FR"/>
        </w:rPr>
      </w:pPr>
      <w:r w:rsidRPr="00B91BD0">
        <w:rPr>
          <w:rFonts w:ascii="Arial" w:hAnsi="Arial"/>
          <w:sz w:val="18"/>
          <w:lang w:val="fr-FR"/>
        </w:rPr>
        <w:t>Liebherr-Werk Ehingen GmbH est le premier fabricant de grues mobiles et sur chenilles. Sa gamme de grues mobiles s’étend de grues de 35 tonnes à 2 essieux jusqu’à des grues pour charges lourdes offrant une capacité de charge de 1 200 tonnes et un châssis à 9 essieux. Les grues à flèche en treillis mobiles ou sur chenilles atteignent des capacités de charge allant jusqu’à 3 000 tonnes. Avec des systèmes de flèche universels et de nombreux équipements supplémentaires, elles sont utilisées sur les chantiers du monde entier. Le site d’Ehingen emploie 5 000 salariés. Un service complet et mondial garantit une haute disponibilité des grues mobiles et sur chenilles. En 202</w:t>
      </w:r>
      <w:r>
        <w:rPr>
          <w:rFonts w:ascii="Arial" w:hAnsi="Arial"/>
          <w:sz w:val="18"/>
          <w:lang w:val="fr-FR"/>
        </w:rPr>
        <w:t>5</w:t>
      </w:r>
      <w:r w:rsidRPr="00B91BD0">
        <w:rPr>
          <w:rFonts w:ascii="Arial" w:hAnsi="Arial"/>
          <w:sz w:val="18"/>
          <w:lang w:val="fr-FR"/>
        </w:rPr>
        <w:t xml:space="preserve">, Liebherr-Werk Ehingen a généré un chiffre d’affaires de </w:t>
      </w:r>
      <w:r>
        <w:rPr>
          <w:rFonts w:ascii="Arial" w:hAnsi="Arial"/>
          <w:sz w:val="18"/>
          <w:lang w:val="fr-FR"/>
        </w:rPr>
        <w:t>2.83</w:t>
      </w:r>
      <w:r w:rsidRPr="00B91BD0">
        <w:rPr>
          <w:rFonts w:ascii="Arial" w:hAnsi="Arial"/>
          <w:sz w:val="18"/>
          <w:lang w:val="fr-FR"/>
        </w:rPr>
        <w:t> milliards d’euros.</w:t>
      </w:r>
      <w:bookmarkEnd w:id="0"/>
    </w:p>
    <w:p w14:paraId="19000ABF" w14:textId="77777777" w:rsidR="007723A6" w:rsidRPr="00E90038" w:rsidRDefault="007723A6" w:rsidP="007723A6">
      <w:pPr>
        <w:pStyle w:val="BoilerplateCopyhead9Pt"/>
        <w:rPr>
          <w:lang w:val="fr-FR"/>
        </w:rPr>
      </w:pPr>
      <w:r>
        <w:rPr>
          <w:bCs/>
          <w:lang w:val="fr-FR"/>
        </w:rPr>
        <w:t xml:space="preserve">À propos du Groupe Liebherr </w:t>
      </w:r>
    </w:p>
    <w:p w14:paraId="4F136D02" w14:textId="0E127963" w:rsidR="0019716D" w:rsidRPr="00E90038" w:rsidRDefault="007723A6" w:rsidP="0019716D">
      <w:pPr>
        <w:pStyle w:val="BoilerplateCopytext9Pt"/>
        <w:rPr>
          <w:lang w:val="fr-FR"/>
        </w:rPr>
      </w:pPr>
      <w:r w:rsidRPr="00173A7D">
        <w:rPr>
          <w:lang w:val="fr-FR"/>
        </w:rPr>
        <w:t>Le Groupe Liebherr est une entreprise technologique familiale proposant une gamme de produits très diversifiée. L’entreprise figure parmi les plus grands fabricants mondiaux d’engins de construction. Elle offre également dans de nombreux autres domaines des produits et services haut de gamme axés sur les besoins des utilisateurs. Le Groupe compte aujourd’hui plus de 150 sociétés sur tous les continents. En 202</w:t>
      </w:r>
      <w:r w:rsidR="00EB7DA5">
        <w:rPr>
          <w:lang w:val="fr-FR"/>
        </w:rPr>
        <w:t>5</w:t>
      </w:r>
      <w:r w:rsidRPr="00173A7D">
        <w:rPr>
          <w:lang w:val="fr-FR"/>
        </w:rPr>
        <w:t>, il a employé plus de 5</w:t>
      </w:r>
      <w:r w:rsidR="00EB7DA5">
        <w:rPr>
          <w:lang w:val="fr-FR"/>
        </w:rPr>
        <w:t>5</w:t>
      </w:r>
      <w:r w:rsidRPr="00173A7D">
        <w:rPr>
          <w:lang w:val="fr-FR"/>
        </w:rPr>
        <w:t>.000 collaborateurs et a enregistré un chiffre d’affaires consolidé de plus de 14 milliards d’euros. Liebherr a été fondé en 1949 à Kirchdorf an der Iller, dans le sud de l’Allemagne, par Hans Liebherr. Depuis, les employés ont pour objectif de convaincre leurs clients par des solutions exigeantes tout en contribuant au progrès technologique</w:t>
      </w:r>
      <w:r>
        <w:rPr>
          <w:lang w:val="fr-FR"/>
        </w:rPr>
        <w:t xml:space="preserve">. </w:t>
      </w:r>
    </w:p>
    <w:p w14:paraId="1376FFAC" w14:textId="77777777" w:rsidR="00E066D5" w:rsidRDefault="00E066D5">
      <w:pPr>
        <w:rPr>
          <w:rFonts w:ascii="Arial" w:eastAsia="Times New Roman" w:hAnsi="Arial" w:cs="Times New Roman"/>
          <w:b/>
          <w:bCs/>
          <w:szCs w:val="18"/>
          <w:lang w:val="fr-FR" w:eastAsia="de-DE"/>
        </w:rPr>
      </w:pPr>
      <w:r>
        <w:rPr>
          <w:bCs/>
          <w:lang w:val="fr-FR"/>
        </w:rPr>
        <w:br w:type="page"/>
      </w:r>
    </w:p>
    <w:p w14:paraId="62450F59" w14:textId="5427BC7E" w:rsidR="009A3D17" w:rsidRPr="00E90038" w:rsidRDefault="009A3D17" w:rsidP="009A3D17">
      <w:pPr>
        <w:pStyle w:val="Copyhead11Pt"/>
        <w:rPr>
          <w:lang w:val="fr-FR"/>
        </w:rPr>
      </w:pPr>
      <w:r>
        <w:rPr>
          <w:bCs/>
          <w:lang w:val="fr-FR"/>
        </w:rPr>
        <w:lastRenderedPageBreak/>
        <w:t>Images</w:t>
      </w:r>
    </w:p>
    <w:p w14:paraId="50ACD589" w14:textId="2918504D" w:rsidR="00E066D5" w:rsidRDefault="00E066D5" w:rsidP="00E066D5">
      <w:pPr>
        <w:pStyle w:val="Caption9Pt"/>
        <w:rPr>
          <w:lang w:val="fr-FR"/>
        </w:rPr>
      </w:pPr>
      <w:r>
        <w:rPr>
          <w:noProof/>
        </w:rPr>
        <w:drawing>
          <wp:inline distT="0" distB="0" distL="0" distR="0" wp14:anchorId="72AEE3A0" wp14:editId="75CBA79C">
            <wp:extent cx="1787451" cy="2692800"/>
            <wp:effectExtent l="0" t="0" r="3810" b="0"/>
            <wp:docPr id="19681792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7451" cy="2692800"/>
                    </a:xfrm>
                    <a:prstGeom prst="rect">
                      <a:avLst/>
                    </a:prstGeom>
                    <a:noFill/>
                    <a:ln>
                      <a:noFill/>
                    </a:ln>
                  </pic:spPr>
                </pic:pic>
              </a:graphicData>
            </a:graphic>
          </wp:inline>
        </w:drawing>
      </w:r>
      <w:r w:rsidRPr="00BE60D8">
        <w:rPr>
          <w:noProof/>
          <w:lang w:val="fr-FR"/>
        </w:rPr>
        <w:t xml:space="preserve"> </w:t>
      </w:r>
    </w:p>
    <w:p w14:paraId="1188C742" w14:textId="3C1292AC" w:rsidR="00E066D5" w:rsidRDefault="00E066D5" w:rsidP="00E066D5">
      <w:pPr>
        <w:pStyle w:val="Caption9Pt"/>
        <w:rPr>
          <w:lang w:val="fr-FR"/>
        </w:rPr>
      </w:pPr>
      <w:r w:rsidRPr="00BE60D8">
        <w:rPr>
          <w:lang w:val="fr-FR"/>
        </w:rPr>
        <w:t>liebherr-mltb-1025-4-1_01.jpg</w:t>
      </w:r>
      <w:r w:rsidRPr="00BE60D8">
        <w:rPr>
          <w:lang w:val="fr-FR"/>
        </w:rPr>
        <w:br/>
        <w:t>Le châssis tout-terrain d</w:t>
      </w:r>
      <w:r>
        <w:rPr>
          <w:lang w:val="fr-FR"/>
        </w:rPr>
        <w:t>e la</w:t>
      </w:r>
      <w:r w:rsidRPr="00BE60D8">
        <w:rPr>
          <w:lang w:val="fr-FR"/>
        </w:rPr>
        <w:t xml:space="preserve"> MLTB 1025-4.1 est doté d’un système de suspension et de transmission sophistiqué qui garantit une mobilité et un contrôle optimal du véhicule, même sur les terrains les plus difficiles.</w:t>
      </w:r>
    </w:p>
    <w:p w14:paraId="38F23CFA" w14:textId="77777777" w:rsidR="00E066D5" w:rsidRPr="00BE60D8" w:rsidRDefault="00E066D5" w:rsidP="00E066D5">
      <w:pPr>
        <w:pStyle w:val="Caption9Pt"/>
        <w:rPr>
          <w:lang w:val="fr-FR"/>
        </w:rPr>
      </w:pPr>
    </w:p>
    <w:p w14:paraId="4750E453" w14:textId="77777777" w:rsidR="00E066D5" w:rsidRDefault="00E066D5" w:rsidP="00E066D5">
      <w:pPr>
        <w:pStyle w:val="Caption9Pt"/>
      </w:pPr>
      <w:r w:rsidRPr="00BE60D8">
        <w:rPr>
          <w:lang w:val="fr-FR"/>
        </w:rPr>
        <w:t xml:space="preserve"> </w:t>
      </w:r>
      <w:r>
        <w:rPr>
          <w:noProof/>
        </w:rPr>
        <w:drawing>
          <wp:inline distT="0" distB="0" distL="0" distR="0" wp14:anchorId="76022982" wp14:editId="4BFF4FDF">
            <wp:extent cx="1794407" cy="2692800"/>
            <wp:effectExtent l="0" t="0" r="0" b="0"/>
            <wp:docPr id="82193142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4407" cy="2692800"/>
                    </a:xfrm>
                    <a:prstGeom prst="rect">
                      <a:avLst/>
                    </a:prstGeom>
                    <a:noFill/>
                    <a:ln>
                      <a:noFill/>
                    </a:ln>
                  </pic:spPr>
                </pic:pic>
              </a:graphicData>
            </a:graphic>
          </wp:inline>
        </w:drawing>
      </w:r>
    </w:p>
    <w:p w14:paraId="05542A95" w14:textId="77777777" w:rsidR="00E066D5" w:rsidRPr="00BE60D8" w:rsidRDefault="00E066D5" w:rsidP="00E066D5">
      <w:pPr>
        <w:pStyle w:val="Caption9Pt"/>
        <w:rPr>
          <w:lang w:val="fr-FR"/>
        </w:rPr>
      </w:pPr>
      <w:r w:rsidRPr="00BE60D8">
        <w:rPr>
          <w:lang w:val="fr-FR"/>
        </w:rPr>
        <w:t>liebherr-mltb-1025-4-1_02.jpg</w:t>
      </w:r>
      <w:r w:rsidRPr="00BE60D8">
        <w:rPr>
          <w:lang w:val="fr-FR"/>
        </w:rPr>
        <w:br/>
        <w:t xml:space="preserve">Les </w:t>
      </w:r>
      <w:r>
        <w:rPr>
          <w:lang w:val="fr-FR"/>
        </w:rPr>
        <w:t>poutres</w:t>
      </w:r>
      <w:r w:rsidRPr="00BE60D8">
        <w:rPr>
          <w:lang w:val="fr-FR"/>
        </w:rPr>
        <w:t xml:space="preserve"> d</w:t>
      </w:r>
      <w:r>
        <w:rPr>
          <w:lang w:val="fr-FR"/>
        </w:rPr>
        <w:t xml:space="preserve">e calage de </w:t>
      </w:r>
      <w:proofErr w:type="gramStart"/>
      <w:r>
        <w:rPr>
          <w:lang w:val="fr-FR"/>
        </w:rPr>
        <w:t xml:space="preserve">la </w:t>
      </w:r>
      <w:r w:rsidRPr="00BE60D8">
        <w:rPr>
          <w:lang w:val="fr-FR"/>
        </w:rPr>
        <w:t xml:space="preserve"> MLTB</w:t>
      </w:r>
      <w:proofErr w:type="gramEnd"/>
      <w:r w:rsidRPr="00BE60D8">
        <w:rPr>
          <w:lang w:val="fr-FR"/>
        </w:rPr>
        <w:t xml:space="preserve"> 1025-4.1 offrent une grande stabilité pour une tenue de route sûre lors des opérations de sauvetage.</w:t>
      </w:r>
    </w:p>
    <w:p w14:paraId="08F25539" w14:textId="77777777" w:rsidR="00E066D5" w:rsidRDefault="00E066D5" w:rsidP="00E066D5">
      <w:pPr>
        <w:pStyle w:val="Caption9Pt"/>
      </w:pPr>
      <w:r>
        <w:rPr>
          <w:noProof/>
        </w:rPr>
        <w:lastRenderedPageBreak/>
        <w:drawing>
          <wp:inline distT="0" distB="0" distL="0" distR="0" wp14:anchorId="1CA7EA5E" wp14:editId="70D6CF25">
            <wp:extent cx="2692800" cy="2018281"/>
            <wp:effectExtent l="0" t="0" r="0" b="1270"/>
            <wp:docPr id="88392484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2800" cy="2018281"/>
                    </a:xfrm>
                    <a:prstGeom prst="rect">
                      <a:avLst/>
                    </a:prstGeom>
                    <a:noFill/>
                    <a:ln>
                      <a:noFill/>
                    </a:ln>
                  </pic:spPr>
                </pic:pic>
              </a:graphicData>
            </a:graphic>
          </wp:inline>
        </w:drawing>
      </w:r>
    </w:p>
    <w:p w14:paraId="53BC1CEF" w14:textId="77777777" w:rsidR="00E066D5" w:rsidRPr="00BE60D8" w:rsidRDefault="00E066D5" w:rsidP="00E066D5">
      <w:pPr>
        <w:pStyle w:val="Caption9Pt"/>
        <w:rPr>
          <w:lang w:val="fr-FR"/>
        </w:rPr>
      </w:pPr>
      <w:r w:rsidRPr="00BE60D8">
        <w:rPr>
          <w:lang w:val="fr-FR"/>
        </w:rPr>
        <w:t>liebherr-mltb-1025-4-1_03.jpg</w:t>
      </w:r>
      <w:r w:rsidRPr="00BE60D8">
        <w:rPr>
          <w:lang w:val="fr-FR"/>
        </w:rPr>
        <w:br/>
        <w:t>Équipé</w:t>
      </w:r>
      <w:r>
        <w:rPr>
          <w:lang w:val="fr-FR"/>
        </w:rPr>
        <w:t>e</w:t>
      </w:r>
      <w:r w:rsidRPr="00BE60D8">
        <w:rPr>
          <w:lang w:val="fr-FR"/>
        </w:rPr>
        <w:t xml:space="preserve"> de deux treuils de dépannage montés à l'arrière, d'un élévateur de soubassement ainsi que d'un équipement militaire complet, l</w:t>
      </w:r>
      <w:r>
        <w:rPr>
          <w:lang w:val="fr-FR"/>
        </w:rPr>
        <w:t>a</w:t>
      </w:r>
      <w:r w:rsidRPr="00BE60D8">
        <w:rPr>
          <w:lang w:val="fr-FR"/>
        </w:rPr>
        <w:t xml:space="preserve"> MLTB 1025-4.1 est conçu</w:t>
      </w:r>
      <w:r>
        <w:rPr>
          <w:lang w:val="fr-FR"/>
        </w:rPr>
        <w:t>e</w:t>
      </w:r>
      <w:r w:rsidRPr="00BE60D8">
        <w:rPr>
          <w:lang w:val="fr-FR"/>
        </w:rPr>
        <w:t xml:space="preserve"> pour diverses méthodes de dépannage.</w:t>
      </w:r>
    </w:p>
    <w:p w14:paraId="056A5BE7" w14:textId="77777777" w:rsidR="00E066D5" w:rsidRDefault="00E066D5" w:rsidP="00E066D5">
      <w:pPr>
        <w:pStyle w:val="Copyhead11Pt"/>
        <w:rPr>
          <w:lang w:val="fr-FR" w:bidi="fr-FR"/>
        </w:rPr>
      </w:pPr>
    </w:p>
    <w:p w14:paraId="6C731F58" w14:textId="12208A67" w:rsidR="00E066D5" w:rsidRPr="0037684D" w:rsidRDefault="00E066D5" w:rsidP="00E066D5">
      <w:pPr>
        <w:pStyle w:val="Copyhead11Pt"/>
        <w:rPr>
          <w:lang w:val="fr-CH"/>
        </w:rPr>
      </w:pPr>
      <w:r w:rsidRPr="0037684D">
        <w:rPr>
          <w:lang w:val="fr-FR" w:bidi="fr-FR"/>
        </w:rPr>
        <w:t>Contact</w:t>
      </w:r>
    </w:p>
    <w:p w14:paraId="17865CC5" w14:textId="77777777" w:rsidR="00E066D5" w:rsidRPr="0037684D" w:rsidRDefault="00E066D5" w:rsidP="00E066D5">
      <w:pPr>
        <w:pStyle w:val="Copytext11Pt"/>
        <w:rPr>
          <w:lang w:val="fr-CH"/>
        </w:rPr>
      </w:pPr>
      <w:r w:rsidRPr="0037684D">
        <w:rPr>
          <w:lang w:val="fr-FR" w:bidi="fr-FR"/>
        </w:rPr>
        <w:t>Berenike Nordmann</w:t>
      </w:r>
      <w:r w:rsidRPr="0037684D">
        <w:rPr>
          <w:lang w:val="fr-FR" w:bidi="fr-FR"/>
        </w:rPr>
        <w:br/>
        <w:t>Marketing et communication</w:t>
      </w:r>
      <w:r w:rsidRPr="0037684D">
        <w:rPr>
          <w:lang w:val="fr-FR" w:bidi="fr-FR"/>
        </w:rPr>
        <w:br/>
        <w:t>Téléphone : +49 7391/502-0</w:t>
      </w:r>
      <w:r w:rsidRPr="0037684D">
        <w:rPr>
          <w:lang w:val="fr-FR" w:bidi="fr-FR"/>
        </w:rPr>
        <w:br/>
      </w:r>
      <w:proofErr w:type="gramStart"/>
      <w:r w:rsidRPr="0037684D">
        <w:rPr>
          <w:lang w:val="fr-FR" w:bidi="fr-FR"/>
        </w:rPr>
        <w:t>E-mail</w:t>
      </w:r>
      <w:proofErr w:type="gramEnd"/>
      <w:r w:rsidRPr="0037684D">
        <w:rPr>
          <w:lang w:val="fr-FR" w:bidi="fr-FR"/>
        </w:rPr>
        <w:t xml:space="preserve"> : berenike.nordmann@liebherr.com </w:t>
      </w:r>
    </w:p>
    <w:p w14:paraId="18A1B754" w14:textId="77777777" w:rsidR="00E066D5" w:rsidRPr="0037684D" w:rsidRDefault="00E066D5" w:rsidP="00E066D5">
      <w:pPr>
        <w:pStyle w:val="Copyhead11Pt"/>
        <w:rPr>
          <w:lang w:val="de-DE"/>
        </w:rPr>
      </w:pPr>
      <w:proofErr w:type="spellStart"/>
      <w:r w:rsidRPr="0037684D">
        <w:rPr>
          <w:lang w:val="de-CH" w:bidi="fr-FR"/>
        </w:rPr>
        <w:t>Publié</w:t>
      </w:r>
      <w:proofErr w:type="spellEnd"/>
      <w:r w:rsidRPr="0037684D">
        <w:rPr>
          <w:lang w:val="de-CH" w:bidi="fr-FR"/>
        </w:rPr>
        <w:t xml:space="preserve"> par</w:t>
      </w:r>
    </w:p>
    <w:p w14:paraId="0F02C91E" w14:textId="77777777" w:rsidR="00E066D5" w:rsidRPr="0037684D" w:rsidRDefault="00E066D5" w:rsidP="00E066D5">
      <w:pPr>
        <w:spacing w:after="300" w:line="300" w:lineRule="exact"/>
        <w:rPr>
          <w:rFonts w:ascii="Arial" w:eastAsia="Times New Roman" w:hAnsi="Arial" w:cs="Times New Roman"/>
          <w:szCs w:val="18"/>
          <w:lang w:val="de-CH" w:eastAsia="de-DE"/>
        </w:rPr>
      </w:pPr>
      <w:r w:rsidRPr="0037684D">
        <w:rPr>
          <w:rFonts w:ascii="Arial" w:eastAsia="Times New Roman" w:hAnsi="Arial" w:cs="Times New Roman"/>
          <w:szCs w:val="18"/>
          <w:lang w:val="de-CH" w:bidi="fr-FR"/>
        </w:rPr>
        <w:t xml:space="preserve">Liebherr-Werk Ehingen GmbH </w:t>
      </w:r>
      <w:r w:rsidRPr="0037684D">
        <w:rPr>
          <w:rFonts w:ascii="Arial" w:eastAsia="Times New Roman" w:hAnsi="Arial" w:cs="Times New Roman"/>
          <w:szCs w:val="18"/>
          <w:lang w:val="de-CH" w:bidi="fr-FR"/>
        </w:rPr>
        <w:br/>
        <w:t>Ehingen (</w:t>
      </w:r>
      <w:r>
        <w:rPr>
          <w:rFonts w:ascii="Arial" w:eastAsia="Times New Roman" w:hAnsi="Arial" w:cs="Times New Roman"/>
          <w:szCs w:val="18"/>
          <w:lang w:val="de-CH" w:bidi="fr-FR"/>
        </w:rPr>
        <w:t>Donau</w:t>
      </w:r>
      <w:r w:rsidRPr="0037684D">
        <w:rPr>
          <w:rFonts w:ascii="Arial" w:eastAsia="Times New Roman" w:hAnsi="Arial" w:cs="Times New Roman"/>
          <w:szCs w:val="18"/>
          <w:lang w:val="de-CH" w:bidi="fr-FR"/>
        </w:rPr>
        <w:t>)/</w:t>
      </w:r>
      <w:proofErr w:type="spellStart"/>
      <w:r w:rsidRPr="0037684D">
        <w:rPr>
          <w:rFonts w:ascii="Arial" w:eastAsia="Times New Roman" w:hAnsi="Arial" w:cs="Times New Roman"/>
          <w:szCs w:val="18"/>
          <w:lang w:val="de-CH" w:bidi="fr-FR"/>
        </w:rPr>
        <w:t>Allemagne</w:t>
      </w:r>
      <w:proofErr w:type="spellEnd"/>
      <w:r w:rsidRPr="0037684D">
        <w:rPr>
          <w:rFonts w:ascii="Arial" w:eastAsia="Times New Roman" w:hAnsi="Arial" w:cs="Times New Roman"/>
          <w:szCs w:val="18"/>
          <w:lang w:val="de-CH" w:bidi="fr-FR"/>
        </w:rPr>
        <w:br/>
      </w:r>
      <w:hyperlink r:id="rId11" w:history="1">
        <w:r w:rsidRPr="0037684D">
          <w:rPr>
            <w:rStyle w:val="Hyperlink"/>
            <w:rFonts w:ascii="Arial" w:eastAsia="Times New Roman" w:hAnsi="Arial" w:cs="Times New Roman"/>
            <w:szCs w:val="18"/>
            <w:lang w:val="de-CH" w:bidi="fr-FR"/>
          </w:rPr>
          <w:t>www.liebherr.com</w:t>
        </w:r>
      </w:hyperlink>
    </w:p>
    <w:p w14:paraId="32EBBB9C" w14:textId="5502EE0C" w:rsidR="00B81ED6" w:rsidRPr="00E066D5" w:rsidRDefault="00B81ED6" w:rsidP="00E066D5">
      <w:pPr>
        <w:pStyle w:val="Copyhead11Pt"/>
        <w:rPr>
          <w:lang w:val="de-CH"/>
        </w:rPr>
      </w:pPr>
    </w:p>
    <w:sectPr w:rsidR="00B81ED6" w:rsidRPr="00E066D5" w:rsidSect="00E847CC">
      <w:headerReference w:type="default" r:id="rId12"/>
      <w:footerReference w:type="default" r:id="rId13"/>
      <w:pgSz w:w="11906" w:h="16838"/>
      <w:pgMar w:top="851" w:right="851" w:bottom="1276" w:left="85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F36E2" w14:textId="77777777" w:rsidR="00991064" w:rsidRDefault="00991064" w:rsidP="00B81ED6">
      <w:pPr>
        <w:spacing w:after="0" w:line="240" w:lineRule="auto"/>
      </w:pPr>
      <w:r>
        <w:separator/>
      </w:r>
    </w:p>
  </w:endnote>
  <w:endnote w:type="continuationSeparator" w:id="0">
    <w:p w14:paraId="28D5C6CD" w14:textId="77777777" w:rsidR="00991064" w:rsidRDefault="00991064" w:rsidP="00B81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ebherr Text Office">
    <w:panose1 w:val="020B0604030000000000"/>
    <w:charset w:val="00"/>
    <w:family w:val="swiss"/>
    <w:pitch w:val="variable"/>
    <w:sig w:usb0="00000207" w:usb1="02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9EA5" w14:textId="42858C4F" w:rsidR="00DF40C0" w:rsidRPr="00E847CC" w:rsidRDefault="0093605C" w:rsidP="00E847CC">
    <w:pPr>
      <w:pStyle w:val="zzPageNumberLine"/>
      <w:rPr>
        <w:rFonts w:ascii="Arial" w:hAnsi="Arial" w:cs="Arial"/>
      </w:rPr>
    </w:pPr>
    <w:r>
      <w:rPr>
        <w:rFonts w:ascii="Arial" w:hAnsi="Arial" w:cs="Arial"/>
        <w:lang w:val="fr-FR"/>
      </w:rPr>
      <w:fldChar w:fldCharType="begin"/>
    </w:r>
    <w:r>
      <w:rPr>
        <w:rFonts w:ascii="Arial" w:hAnsi="Arial" w:cs="Arial"/>
        <w:lang w:val="fr-FR"/>
      </w:rPr>
      <w:instrText xml:space="preserve"> IF </w:instrText>
    </w:r>
    <w:r>
      <w:rPr>
        <w:rFonts w:ascii="Arial" w:hAnsi="Arial" w:cs="Arial"/>
        <w:lang w:val="fr-FR"/>
      </w:rPr>
      <w:fldChar w:fldCharType="begin"/>
    </w:r>
    <w:r>
      <w:rPr>
        <w:rFonts w:ascii="Arial" w:hAnsi="Arial" w:cs="Arial"/>
        <w:lang w:val="fr-FR"/>
      </w:rPr>
      <w:instrText xml:space="preserve"> SECTIONPAGES  </w:instrText>
    </w:r>
    <w:r>
      <w:rPr>
        <w:rFonts w:ascii="Arial" w:hAnsi="Arial" w:cs="Arial"/>
        <w:lang w:val="fr-FR"/>
      </w:rPr>
      <w:fldChar w:fldCharType="separate"/>
    </w:r>
    <w:r w:rsidR="00E066D5">
      <w:rPr>
        <w:rFonts w:ascii="Arial" w:hAnsi="Arial" w:cs="Arial"/>
        <w:noProof/>
        <w:lang w:val="fr-FR"/>
      </w:rPr>
      <w:instrText>4</w:instrText>
    </w:r>
    <w:r>
      <w:rPr>
        <w:rFonts w:ascii="Arial" w:hAnsi="Arial" w:cs="Arial"/>
        <w:noProof/>
        <w:lang w:val="fr-FR"/>
      </w:rPr>
      <w:fldChar w:fldCharType="end"/>
    </w:r>
    <w:r>
      <w:rPr>
        <w:rFonts w:ascii="Arial" w:hAnsi="Arial" w:cs="Arial"/>
        <w:lang w:val="fr-FR"/>
      </w:rPr>
      <w:instrText xml:space="preserve"> &gt; 1 "</w:instrText>
    </w:r>
    <w:r>
      <w:rPr>
        <w:rFonts w:ascii="Arial" w:hAnsi="Arial" w:cs="Arial"/>
        <w:lang w:val="fr-FR"/>
      </w:rPr>
      <w:fldChar w:fldCharType="begin"/>
    </w:r>
    <w:r>
      <w:rPr>
        <w:rFonts w:ascii="Arial" w:hAnsi="Arial" w:cs="Arial"/>
        <w:lang w:val="fr-FR"/>
      </w:rPr>
      <w:instrText xml:space="preserve"> PAGE  </w:instrText>
    </w:r>
    <w:r>
      <w:rPr>
        <w:rFonts w:ascii="Arial" w:hAnsi="Arial" w:cs="Arial"/>
        <w:lang w:val="fr-FR"/>
      </w:rPr>
      <w:fldChar w:fldCharType="separate"/>
    </w:r>
    <w:r w:rsidR="00E066D5">
      <w:rPr>
        <w:rFonts w:ascii="Arial" w:hAnsi="Arial" w:cs="Arial"/>
        <w:noProof/>
        <w:lang w:val="fr-FR"/>
      </w:rPr>
      <w:instrText>4</w:instrText>
    </w:r>
    <w:r>
      <w:rPr>
        <w:rFonts w:ascii="Arial" w:hAnsi="Arial" w:cs="Arial"/>
        <w:lang w:val="fr-FR"/>
      </w:rPr>
      <w:fldChar w:fldCharType="end"/>
    </w:r>
    <w:r>
      <w:rPr>
        <w:rFonts w:ascii="Arial" w:hAnsi="Arial" w:cs="Arial"/>
        <w:lang w:val="fr-FR"/>
      </w:rPr>
      <w:instrText>/</w:instrText>
    </w:r>
    <w:r>
      <w:rPr>
        <w:rFonts w:ascii="Arial" w:hAnsi="Arial" w:cs="Arial"/>
        <w:lang w:val="fr-FR"/>
      </w:rPr>
      <w:fldChar w:fldCharType="begin"/>
    </w:r>
    <w:r>
      <w:rPr>
        <w:rFonts w:ascii="Arial" w:hAnsi="Arial" w:cs="Arial"/>
        <w:lang w:val="fr-FR"/>
      </w:rPr>
      <w:instrText xml:space="preserve"> SECTIONPAGES  </w:instrText>
    </w:r>
    <w:r>
      <w:rPr>
        <w:rFonts w:ascii="Arial" w:hAnsi="Arial" w:cs="Arial"/>
        <w:lang w:val="fr-FR"/>
      </w:rPr>
      <w:fldChar w:fldCharType="separate"/>
    </w:r>
    <w:r w:rsidR="00E066D5">
      <w:rPr>
        <w:rFonts w:ascii="Arial" w:hAnsi="Arial" w:cs="Arial"/>
        <w:noProof/>
        <w:lang w:val="fr-FR"/>
      </w:rPr>
      <w:instrText>4</w:instrText>
    </w:r>
    <w:r>
      <w:rPr>
        <w:rFonts w:ascii="Arial" w:hAnsi="Arial" w:cs="Arial"/>
        <w:noProof/>
        <w:lang w:val="fr-FR"/>
      </w:rPr>
      <w:fldChar w:fldCharType="end"/>
    </w:r>
    <w:r>
      <w:rPr>
        <w:rFonts w:ascii="Arial" w:hAnsi="Arial" w:cs="Arial"/>
        <w:lang w:val="fr-FR"/>
      </w:rPr>
      <w:instrText xml:space="preserve">" "" </w:instrText>
    </w:r>
    <w:r w:rsidR="003C3933">
      <w:rPr>
        <w:rFonts w:ascii="Arial" w:hAnsi="Arial" w:cs="Arial"/>
        <w:lang w:val="fr-FR"/>
      </w:rPr>
      <w:fldChar w:fldCharType="separate"/>
    </w:r>
    <w:r w:rsidR="00E066D5">
      <w:rPr>
        <w:rFonts w:ascii="Arial" w:hAnsi="Arial" w:cs="Arial"/>
        <w:noProof/>
        <w:lang w:val="fr-FR"/>
      </w:rPr>
      <w:t>4/4</w:t>
    </w:r>
    <w:r>
      <w:rPr>
        <w:rFonts w:ascii="Arial" w:hAnsi="Arial" w:cs="Arial"/>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B2BFE" w14:textId="77777777" w:rsidR="00991064" w:rsidRDefault="00991064" w:rsidP="00B81ED6">
      <w:pPr>
        <w:spacing w:after="0" w:line="240" w:lineRule="auto"/>
      </w:pPr>
      <w:r>
        <w:separator/>
      </w:r>
    </w:p>
  </w:footnote>
  <w:footnote w:type="continuationSeparator" w:id="0">
    <w:p w14:paraId="0443A8A2" w14:textId="77777777" w:rsidR="00991064" w:rsidRDefault="00991064" w:rsidP="00B81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4705D" w14:textId="77777777" w:rsidR="00E847CC" w:rsidRDefault="00E847CC">
    <w:pPr>
      <w:pStyle w:val="Kopfzeile"/>
    </w:pPr>
    <w:r>
      <w:rPr>
        <w:lang w:val="fr-FR"/>
      </w:rPr>
      <w:tab/>
    </w:r>
    <w:r>
      <w:rPr>
        <w:lang w:val="fr-FR"/>
      </w:rPr>
      <w:tab/>
    </w:r>
    <w:r>
      <w:rPr>
        <w:lang w:val="fr-FR"/>
      </w:rPr>
      <w:ptab w:relativeTo="margin" w:alignment="right" w:leader="none"/>
    </w:r>
    <w:r>
      <w:rPr>
        <w:noProof/>
        <w:lang w:val="fr-FR"/>
      </w:rPr>
      <w:drawing>
        <wp:inline distT="0" distB="0" distL="0" distR="0" wp14:anchorId="7405AD93" wp14:editId="18E0C928">
          <wp:extent cx="2167200" cy="270000"/>
          <wp:effectExtent l="0" t="0" r="508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ebherr_Brand_EMF_pos.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7200" cy="270000"/>
                  </a:xfrm>
                  <a:prstGeom prst="rect">
                    <a:avLst/>
                  </a:prstGeom>
                </pic:spPr>
              </pic:pic>
            </a:graphicData>
          </a:graphic>
        </wp:inline>
      </w:drawing>
    </w:r>
    <w:r>
      <w:rPr>
        <w:lang w:val="fr-FR"/>
      </w:rPr>
      <w:tab/>
    </w:r>
    <w:r>
      <w:rPr>
        <w:lang w:val="fr-FR"/>
      </w:rPr>
      <w:tab/>
    </w:r>
  </w:p>
  <w:p w14:paraId="06F7894A" w14:textId="77777777" w:rsidR="00E847CC" w:rsidRDefault="00E847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67256"/>
    <w:multiLevelType w:val="multilevel"/>
    <w:tmpl w:val="A12230F4"/>
    <w:styleLink w:val="TitleRuleListStyleLH"/>
    <w:lvl w:ilvl="0">
      <w:start w:val="1"/>
      <w:numFmt w:val="bullet"/>
      <w:pStyle w:val="TitleRuleLH"/>
      <w:suff w:val="nothing"/>
      <w:lvlText w:val="⸺"/>
      <w:lvlJc w:val="left"/>
      <w:pPr>
        <w:ind w:left="0" w:firstLine="0"/>
      </w:pPr>
      <w:rPr>
        <w:rFonts w:ascii="Liebherr Text Office" w:hAnsi="Liebherr Text Office" w:hint="default"/>
        <w:b/>
        <w:i w:val="0"/>
        <w:position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1A2E7D2B"/>
    <w:multiLevelType w:val="hybridMultilevel"/>
    <w:tmpl w:val="B6B279B4"/>
    <w:lvl w:ilvl="0" w:tplc="5922D504">
      <w:numFmt w:val="bullet"/>
      <w:pStyle w:val="Bulletpoints11Pt1"/>
      <w:lvlText w:val="–"/>
      <w:lvlJc w:val="left"/>
      <w:pPr>
        <w:ind w:left="786" w:hanging="360"/>
      </w:pPr>
      <w:rPr>
        <w:rFonts w:ascii="Calibri" w:eastAsiaTheme="minorHAnsi" w:hAnsi="Calibri" w:cs="Calibri" w:hint="default"/>
        <w:b/>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 w15:restartNumberingAfterBreak="0">
    <w:nsid w:val="47513EFA"/>
    <w:multiLevelType w:val="multilevel"/>
    <w:tmpl w:val="A12230F4"/>
    <w:numStyleLink w:val="TitleRuleListStyleLH"/>
  </w:abstractNum>
  <w:num w:numId="1" w16cid:durableId="269746406">
    <w:abstractNumId w:val="0"/>
  </w:num>
  <w:num w:numId="2" w16cid:durableId="1285230955">
    <w:abstractNumId w:val="2"/>
    <w:lvlOverride w:ilvl="0">
      <w:lvl w:ilvl="0">
        <w:start w:val="1"/>
        <w:numFmt w:val="bullet"/>
        <w:pStyle w:val="TitleRuleLH"/>
        <w:suff w:val="nothing"/>
        <w:lvlText w:val="⸺"/>
        <w:lvlJc w:val="left"/>
        <w:pPr>
          <w:ind w:left="0" w:firstLine="0"/>
        </w:pPr>
        <w:rPr>
          <w:rFonts w:ascii="Arial" w:hAnsi="Arial" w:cs="Arial" w:hint="default"/>
          <w:b/>
          <w:i w:val="0"/>
          <w:position w:val="0"/>
        </w:rPr>
      </w:lvl>
    </w:lvlOverride>
  </w:num>
  <w:num w:numId="3" w16cid:durableId="1549947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ED6"/>
    <w:rsid w:val="00007B0A"/>
    <w:rsid w:val="00012DB6"/>
    <w:rsid w:val="00033002"/>
    <w:rsid w:val="00066E54"/>
    <w:rsid w:val="000E3C3F"/>
    <w:rsid w:val="001419B4"/>
    <w:rsid w:val="00145DB7"/>
    <w:rsid w:val="00162E48"/>
    <w:rsid w:val="0019716D"/>
    <w:rsid w:val="001A1AD7"/>
    <w:rsid w:val="002B4C45"/>
    <w:rsid w:val="002C3350"/>
    <w:rsid w:val="00327624"/>
    <w:rsid w:val="003524D2"/>
    <w:rsid w:val="003936A6"/>
    <w:rsid w:val="003C3933"/>
    <w:rsid w:val="003D6573"/>
    <w:rsid w:val="003E5383"/>
    <w:rsid w:val="003E69B2"/>
    <w:rsid w:val="00497A5D"/>
    <w:rsid w:val="004C669D"/>
    <w:rsid w:val="004D4BD3"/>
    <w:rsid w:val="00556698"/>
    <w:rsid w:val="00652E53"/>
    <w:rsid w:val="00747169"/>
    <w:rsid w:val="00761197"/>
    <w:rsid w:val="007723A6"/>
    <w:rsid w:val="007940B3"/>
    <w:rsid w:val="007C2DD9"/>
    <w:rsid w:val="007F2586"/>
    <w:rsid w:val="00824226"/>
    <w:rsid w:val="009169F9"/>
    <w:rsid w:val="0093605C"/>
    <w:rsid w:val="00965077"/>
    <w:rsid w:val="00991064"/>
    <w:rsid w:val="00997DAC"/>
    <w:rsid w:val="009A3D17"/>
    <w:rsid w:val="00A261BF"/>
    <w:rsid w:val="00AC2129"/>
    <w:rsid w:val="00AF1F99"/>
    <w:rsid w:val="00B81ED6"/>
    <w:rsid w:val="00BB0BFF"/>
    <w:rsid w:val="00BD7045"/>
    <w:rsid w:val="00C464EC"/>
    <w:rsid w:val="00C524FF"/>
    <w:rsid w:val="00C77574"/>
    <w:rsid w:val="00CD6F91"/>
    <w:rsid w:val="00D63B50"/>
    <w:rsid w:val="00DE04A8"/>
    <w:rsid w:val="00DF40C0"/>
    <w:rsid w:val="00E066D5"/>
    <w:rsid w:val="00E260E6"/>
    <w:rsid w:val="00E32363"/>
    <w:rsid w:val="00E847CC"/>
    <w:rsid w:val="00E85028"/>
    <w:rsid w:val="00E90038"/>
    <w:rsid w:val="00EA26F3"/>
    <w:rsid w:val="00EB7DA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A9D8A"/>
  <w15:chartTrackingRefBased/>
  <w15:docId w15:val="{6B76B8C6-5DB7-4EFE-9E2A-81E5C66A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itleLogotoprightLH">
    <w:name w:val="Title Logo top right LH"/>
    <w:rsid w:val="00B81ED6"/>
    <w:pPr>
      <w:framePr w:w="10206" w:h="1701" w:hRule="exact" w:wrap="notBeside" w:vAnchor="page" w:hAnchor="page" w:x="852" w:y="852" w:anchorLock="1"/>
      <w:spacing w:after="0" w:line="240" w:lineRule="atLeast"/>
      <w:jc w:val="right"/>
    </w:pPr>
    <w:rPr>
      <w:rFonts w:eastAsiaTheme="minorHAnsi"/>
      <w:kern w:val="12"/>
      <w:sz w:val="18"/>
      <w:szCs w:val="18"/>
      <w:lang w:val="en-GB" w:eastAsia="en-US"/>
    </w:rPr>
  </w:style>
  <w:style w:type="paragraph" w:styleId="Kopfzeile">
    <w:name w:val="header"/>
    <w:basedOn w:val="Standard"/>
    <w:link w:val="KopfzeileZchn"/>
    <w:uiPriority w:val="99"/>
    <w:unhideWhenUsed/>
    <w:rsid w:val="00B81ED6"/>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B81ED6"/>
  </w:style>
  <w:style w:type="paragraph" w:styleId="Fuzeile">
    <w:name w:val="footer"/>
    <w:basedOn w:val="Standard"/>
    <w:link w:val="FuzeileZchn"/>
    <w:uiPriority w:val="99"/>
    <w:unhideWhenUsed/>
    <w:rsid w:val="00B81ED6"/>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B81ED6"/>
  </w:style>
  <w:style w:type="paragraph" w:customStyle="1" w:styleId="HeadlineH233Pt">
    <w:name w:val="Headline H2 33Pt"/>
    <w:basedOn w:val="Standard"/>
    <w:link w:val="HeadlineH233PtZchn"/>
    <w:qFormat/>
    <w:rsid w:val="00B81ED6"/>
    <w:pPr>
      <w:keepNext/>
      <w:keepLines/>
      <w:spacing w:after="0"/>
      <w:outlineLvl w:val="0"/>
    </w:pPr>
    <w:rPr>
      <w:rFonts w:ascii="Arial" w:eastAsiaTheme="majorEastAsia" w:hAnsi="Arial" w:cstheme="majorBidi"/>
      <w:b/>
      <w:sz w:val="66"/>
      <w:szCs w:val="32"/>
      <w:lang w:eastAsia="en-US"/>
    </w:rPr>
  </w:style>
  <w:style w:type="character" w:customStyle="1" w:styleId="HeadlineH233PtZchn">
    <w:name w:val="Headline H2 33Pt Zchn"/>
    <w:basedOn w:val="Absatz-Standardschriftart"/>
    <w:link w:val="HeadlineH233Pt"/>
    <w:rsid w:val="00B81ED6"/>
    <w:rPr>
      <w:rFonts w:ascii="Arial" w:eastAsiaTheme="majorEastAsia" w:hAnsi="Arial" w:cstheme="majorBidi"/>
      <w:b/>
      <w:sz w:val="66"/>
      <w:szCs w:val="32"/>
      <w:lang w:eastAsia="en-US"/>
    </w:rPr>
  </w:style>
  <w:style w:type="paragraph" w:customStyle="1" w:styleId="Topline16Pt">
    <w:name w:val="Topline 16Pt"/>
    <w:link w:val="Topline16PtZchn"/>
    <w:qFormat/>
    <w:rsid w:val="00B81ED6"/>
    <w:pPr>
      <w:spacing w:after="0" w:line="240" w:lineRule="auto"/>
    </w:pPr>
    <w:rPr>
      <w:rFonts w:ascii="Arial" w:eastAsiaTheme="minorHAnsi" w:hAnsi="Arial"/>
      <w:sz w:val="33"/>
      <w:szCs w:val="33"/>
      <w:lang w:val="en-US" w:eastAsia="en-US"/>
    </w:rPr>
  </w:style>
  <w:style w:type="character" w:customStyle="1" w:styleId="Topline16PtZchn">
    <w:name w:val="Topline 16Pt Zchn"/>
    <w:basedOn w:val="Absatz-Standardschriftart"/>
    <w:link w:val="Topline16Pt"/>
    <w:rsid w:val="00B81ED6"/>
    <w:rPr>
      <w:rFonts w:ascii="Arial" w:eastAsiaTheme="minorHAnsi" w:hAnsi="Arial"/>
      <w:sz w:val="33"/>
      <w:szCs w:val="33"/>
      <w:lang w:val="en-US" w:eastAsia="en-US"/>
    </w:rPr>
  </w:style>
  <w:style w:type="paragraph" w:styleId="Titel">
    <w:name w:val="Title"/>
    <w:aliases w:val="Headline H2 33Pt."/>
    <w:basedOn w:val="Standard"/>
    <w:next w:val="TitleRuleLH"/>
    <w:link w:val="TitelZchn"/>
    <w:uiPriority w:val="10"/>
    <w:qFormat/>
    <w:rsid w:val="00B81ED6"/>
    <w:pPr>
      <w:keepNext/>
      <w:keepLines/>
      <w:spacing w:after="0" w:line="199" w:lineRule="auto"/>
      <w:contextualSpacing/>
    </w:pPr>
    <w:rPr>
      <w:rFonts w:ascii="Arial" w:eastAsiaTheme="majorEastAsia" w:hAnsi="Arial" w:cstheme="majorBidi"/>
      <w:b/>
      <w:kern w:val="12"/>
      <w:sz w:val="66"/>
      <w:szCs w:val="56"/>
      <w:lang w:val="en-GB" w:eastAsia="en-US"/>
      <w14:ligatures w14:val="all"/>
    </w:rPr>
  </w:style>
  <w:style w:type="character" w:customStyle="1" w:styleId="TitelZchn">
    <w:name w:val="Titel Zchn"/>
    <w:aliases w:val="Headline H2 33Pt. Zchn"/>
    <w:basedOn w:val="Absatz-Standardschriftart"/>
    <w:link w:val="Titel"/>
    <w:uiPriority w:val="10"/>
    <w:rsid w:val="00B81ED6"/>
    <w:rPr>
      <w:rFonts w:ascii="Arial" w:eastAsiaTheme="majorEastAsia" w:hAnsi="Arial" w:cstheme="majorBidi"/>
      <w:b/>
      <w:kern w:val="12"/>
      <w:sz w:val="66"/>
      <w:szCs w:val="56"/>
      <w:lang w:val="en-GB" w:eastAsia="en-US"/>
      <w14:ligatures w14:val="all"/>
    </w:rPr>
  </w:style>
  <w:style w:type="paragraph" w:customStyle="1" w:styleId="Topline16">
    <w:name w:val="Topline 16"/>
    <w:basedOn w:val="Standard"/>
    <w:uiPriority w:val="13"/>
    <w:qFormat/>
    <w:rsid w:val="00EA26F3"/>
    <w:pPr>
      <w:keepNext/>
      <w:keepLines/>
      <w:spacing w:after="120" w:line="240" w:lineRule="auto"/>
    </w:pPr>
    <w:rPr>
      <w:rFonts w:ascii="Arial" w:eastAsiaTheme="minorHAnsi" w:hAnsi="Arial"/>
      <w:kern w:val="12"/>
      <w:sz w:val="33"/>
      <w:szCs w:val="18"/>
      <w:lang w:val="en-GB" w:eastAsia="en-US"/>
    </w:rPr>
  </w:style>
  <w:style w:type="paragraph" w:customStyle="1" w:styleId="TitleRuleLH">
    <w:name w:val="Title Rule LH"/>
    <w:basedOn w:val="Titel"/>
    <w:next w:val="Standard"/>
    <w:uiPriority w:val="11"/>
    <w:rsid w:val="00B81ED6"/>
    <w:pPr>
      <w:numPr>
        <w:numId w:val="2"/>
      </w:numPr>
    </w:pPr>
    <w:rPr>
      <w:lang w:val="en-US"/>
    </w:rPr>
  </w:style>
  <w:style w:type="numbering" w:customStyle="1" w:styleId="TitleRuleListStyleLH">
    <w:name w:val="Title Rule List Style LH"/>
    <w:uiPriority w:val="99"/>
    <w:rsid w:val="00B81ED6"/>
    <w:pPr>
      <w:numPr>
        <w:numId w:val="1"/>
      </w:numPr>
    </w:pPr>
  </w:style>
  <w:style w:type="character" w:styleId="Platzhaltertext">
    <w:name w:val="Placeholder Text"/>
    <w:basedOn w:val="Absatz-Standardschriftart"/>
    <w:uiPriority w:val="99"/>
    <w:semiHidden/>
    <w:rsid w:val="00B81ED6"/>
    <w:rPr>
      <w:color w:val="808080"/>
    </w:rPr>
  </w:style>
  <w:style w:type="paragraph" w:customStyle="1" w:styleId="Bulletpoints11Pt1">
    <w:name w:val="Bulletpoints 11Pt1"/>
    <w:basedOn w:val="Standard"/>
    <w:rsid w:val="00B81ED6"/>
    <w:pPr>
      <w:numPr>
        <w:numId w:val="3"/>
      </w:numPr>
      <w:spacing w:after="0" w:line="300" w:lineRule="exact"/>
      <w:ind w:left="782" w:hanging="357"/>
    </w:pPr>
    <w:rPr>
      <w:rFonts w:ascii="Arial" w:eastAsiaTheme="minorHAnsi" w:hAnsi="Arial" w:cs="Arial"/>
      <w:b/>
      <w:lang w:val="en-US" w:eastAsia="en-US"/>
    </w:rPr>
  </w:style>
  <w:style w:type="paragraph" w:customStyle="1" w:styleId="Copytext11Pt">
    <w:name w:val="Copytext 11Pt"/>
    <w:basedOn w:val="Standard"/>
    <w:link w:val="Copytext11PtZchn"/>
    <w:qFormat/>
    <w:rsid w:val="00B81ED6"/>
    <w:pPr>
      <w:spacing w:after="300" w:line="300" w:lineRule="exact"/>
    </w:pPr>
    <w:rPr>
      <w:rFonts w:ascii="Arial" w:eastAsia="Times New Roman" w:hAnsi="Arial" w:cs="Times New Roman"/>
      <w:szCs w:val="18"/>
      <w:lang w:val="en-US" w:eastAsia="de-DE"/>
    </w:rPr>
  </w:style>
  <w:style w:type="paragraph" w:customStyle="1" w:styleId="Copyhead11Pt">
    <w:name w:val="Copyhead 11Pt"/>
    <w:basedOn w:val="Standard"/>
    <w:link w:val="Copyhead11PtZchn"/>
    <w:qFormat/>
    <w:rsid w:val="00B81ED6"/>
    <w:pPr>
      <w:spacing w:after="300" w:line="300" w:lineRule="exact"/>
    </w:pPr>
    <w:rPr>
      <w:rFonts w:ascii="Arial" w:eastAsia="Times New Roman" w:hAnsi="Arial" w:cs="Times New Roman"/>
      <w:b/>
      <w:szCs w:val="18"/>
      <w:lang w:val="en-US" w:eastAsia="de-DE"/>
    </w:rPr>
  </w:style>
  <w:style w:type="paragraph" w:customStyle="1" w:styleId="Teaser11Pt">
    <w:name w:val="Teaser 11Pt"/>
    <w:basedOn w:val="Standard"/>
    <w:link w:val="Teaser11PtZchn"/>
    <w:qFormat/>
    <w:rsid w:val="00B81ED6"/>
    <w:pPr>
      <w:tabs>
        <w:tab w:val="left" w:pos="170"/>
      </w:tabs>
      <w:suppressAutoHyphens/>
      <w:spacing w:before="240" w:after="300" w:line="300" w:lineRule="exact"/>
    </w:pPr>
    <w:rPr>
      <w:rFonts w:ascii="Arial" w:hAnsi="Arial"/>
      <w:b/>
      <w:noProof/>
      <w:lang w:val="en-US" w:eastAsia="de-DE"/>
    </w:rPr>
  </w:style>
  <w:style w:type="character" w:customStyle="1" w:styleId="Copyhead11PtZchn">
    <w:name w:val="Copyhead 11Pt Zchn"/>
    <w:basedOn w:val="Absatz-Standardschriftart"/>
    <w:link w:val="Copyhead11Pt"/>
    <w:rsid w:val="00B81ED6"/>
    <w:rPr>
      <w:rFonts w:ascii="Arial" w:eastAsia="Times New Roman" w:hAnsi="Arial" w:cs="Times New Roman"/>
      <w:b/>
      <w:szCs w:val="18"/>
      <w:lang w:val="en-US" w:eastAsia="de-DE"/>
    </w:rPr>
  </w:style>
  <w:style w:type="character" w:customStyle="1" w:styleId="Copytext11PtZchn">
    <w:name w:val="Copytext 11Pt Zchn"/>
    <w:basedOn w:val="Absatz-Standardschriftart"/>
    <w:link w:val="Copytext11Pt"/>
    <w:rsid w:val="00B81ED6"/>
    <w:rPr>
      <w:rFonts w:ascii="Arial" w:eastAsia="Times New Roman" w:hAnsi="Arial" w:cs="Times New Roman"/>
      <w:szCs w:val="18"/>
      <w:lang w:val="en-US" w:eastAsia="de-DE"/>
    </w:rPr>
  </w:style>
  <w:style w:type="character" w:customStyle="1" w:styleId="Teaser11PtZchn">
    <w:name w:val="Teaser 11Pt Zchn"/>
    <w:basedOn w:val="Absatz-Standardschriftart"/>
    <w:link w:val="Teaser11Pt"/>
    <w:rsid w:val="00B81ED6"/>
    <w:rPr>
      <w:rFonts w:ascii="Arial" w:hAnsi="Arial"/>
      <w:b/>
      <w:noProof/>
      <w:lang w:val="en-US" w:eastAsia="de-DE"/>
    </w:rPr>
  </w:style>
  <w:style w:type="paragraph" w:customStyle="1" w:styleId="Bulletpoints11Pt">
    <w:name w:val="Bulletpoints 11Pt"/>
    <w:basedOn w:val="Bulletpoints11Pt1"/>
    <w:link w:val="Bulletpoints11PtZchn"/>
    <w:qFormat/>
    <w:rsid w:val="00B81ED6"/>
    <w:pPr>
      <w:ind w:left="284" w:hanging="284"/>
    </w:pPr>
  </w:style>
  <w:style w:type="character" w:customStyle="1" w:styleId="Bulletpoints11PtZchn">
    <w:name w:val="Bulletpoints 11Pt Zchn"/>
    <w:basedOn w:val="Absatz-Standardschriftart"/>
    <w:link w:val="Bulletpoints11Pt"/>
    <w:rsid w:val="00B81ED6"/>
    <w:rPr>
      <w:rFonts w:ascii="Arial" w:eastAsiaTheme="minorHAnsi" w:hAnsi="Arial" w:cs="Arial"/>
      <w:b/>
      <w:lang w:val="en-US" w:eastAsia="en-US"/>
    </w:rPr>
  </w:style>
  <w:style w:type="paragraph" w:customStyle="1" w:styleId="BoilerplateCopyhead9Pt">
    <w:name w:val="Boilerplate Copyhead 9Pt"/>
    <w:link w:val="BoilerplateCopyhead9PtZchn"/>
    <w:qFormat/>
    <w:rsid w:val="00B81ED6"/>
    <w:pPr>
      <w:spacing w:after="240" w:line="240" w:lineRule="exact"/>
    </w:pPr>
    <w:rPr>
      <w:rFonts w:ascii="Arial" w:eastAsia="Times New Roman" w:hAnsi="Arial" w:cs="Times New Roman"/>
      <w:b/>
      <w:sz w:val="18"/>
      <w:szCs w:val="18"/>
      <w:lang w:val="en-US" w:eastAsia="de-DE"/>
    </w:rPr>
  </w:style>
  <w:style w:type="character" w:customStyle="1" w:styleId="BoilerplateCopyhead9PtZchn">
    <w:name w:val="Boilerplate Copyhead 9Pt Zchn"/>
    <w:basedOn w:val="Absatz-Standardschriftart"/>
    <w:link w:val="BoilerplateCopyhead9Pt"/>
    <w:rsid w:val="00B81ED6"/>
    <w:rPr>
      <w:rFonts w:ascii="Arial" w:eastAsia="Times New Roman" w:hAnsi="Arial" w:cs="Times New Roman"/>
      <w:b/>
      <w:sz w:val="18"/>
      <w:szCs w:val="18"/>
      <w:lang w:val="en-US" w:eastAsia="de-DE"/>
    </w:rPr>
  </w:style>
  <w:style w:type="paragraph" w:customStyle="1" w:styleId="BoilerplateCopytext9Pt">
    <w:name w:val="Boilerplate Copytext 9Pt"/>
    <w:link w:val="BoilerplateCopytext9PtZchn"/>
    <w:qFormat/>
    <w:rsid w:val="00B81ED6"/>
    <w:pPr>
      <w:spacing w:after="240" w:line="240" w:lineRule="exact"/>
    </w:pPr>
    <w:rPr>
      <w:rFonts w:ascii="Arial" w:eastAsia="Times New Roman" w:hAnsi="Arial" w:cs="Times New Roman"/>
      <w:sz w:val="18"/>
      <w:szCs w:val="18"/>
      <w:lang w:val="en-US" w:eastAsia="de-DE"/>
    </w:rPr>
  </w:style>
  <w:style w:type="paragraph" w:customStyle="1" w:styleId="Caption9Pt">
    <w:name w:val="Caption 9Pt"/>
    <w:basedOn w:val="Standard"/>
    <w:link w:val="Caption9PtZchn"/>
    <w:qFormat/>
    <w:rsid w:val="00B81ED6"/>
    <w:rPr>
      <w:rFonts w:ascii="Arial" w:eastAsiaTheme="minorHAnsi" w:hAnsi="Arial" w:cs="Arial"/>
      <w:sz w:val="18"/>
      <w:szCs w:val="18"/>
      <w:lang w:eastAsia="en-US"/>
    </w:rPr>
  </w:style>
  <w:style w:type="character" w:customStyle="1" w:styleId="BoilerplateCopytext9PtZchn">
    <w:name w:val="Boilerplate Copytext 9Pt Zchn"/>
    <w:basedOn w:val="Absatz-Standardschriftart"/>
    <w:link w:val="BoilerplateCopytext9Pt"/>
    <w:rsid w:val="00B81ED6"/>
    <w:rPr>
      <w:rFonts w:ascii="Arial" w:eastAsia="Times New Roman" w:hAnsi="Arial" w:cs="Times New Roman"/>
      <w:sz w:val="18"/>
      <w:szCs w:val="18"/>
      <w:lang w:val="en-US" w:eastAsia="de-DE"/>
    </w:rPr>
  </w:style>
  <w:style w:type="character" w:customStyle="1" w:styleId="Caption9PtZchn">
    <w:name w:val="Caption 9Pt Zchn"/>
    <w:basedOn w:val="Absatz-Standardschriftart"/>
    <w:link w:val="Caption9Pt"/>
    <w:rsid w:val="00B81ED6"/>
    <w:rPr>
      <w:rFonts w:ascii="Arial" w:eastAsiaTheme="minorHAnsi" w:hAnsi="Arial" w:cs="Arial"/>
      <w:sz w:val="18"/>
      <w:szCs w:val="18"/>
      <w:lang w:eastAsia="en-US"/>
    </w:rPr>
  </w:style>
  <w:style w:type="table" w:styleId="Tabellenraster">
    <w:name w:val="Table Grid"/>
    <w:basedOn w:val="NormaleTabelle"/>
    <w:uiPriority w:val="59"/>
    <w:rsid w:val="00B81ED6"/>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
    <w:name w:val="bild"/>
    <w:rsid w:val="00B81ED6"/>
    <w:pPr>
      <w:spacing w:after="0" w:line="240" w:lineRule="auto"/>
    </w:pPr>
    <w:rPr>
      <w:rFonts w:ascii="Arial" w:hAnsi="Arial"/>
      <w:b/>
      <w:sz w:val="12"/>
      <w:szCs w:val="18"/>
      <w:lang w:eastAsia="de-DE"/>
    </w:rPr>
  </w:style>
  <w:style w:type="character" w:styleId="Hyperlink">
    <w:name w:val="Hyperlink"/>
    <w:basedOn w:val="Absatz-Standardschriftart"/>
    <w:unhideWhenUsed/>
    <w:rsid w:val="00B81ED6"/>
    <w:rPr>
      <w:color w:val="0563C1" w:themeColor="hyperlink"/>
      <w:u w:val="single"/>
    </w:rPr>
  </w:style>
  <w:style w:type="paragraph" w:customStyle="1" w:styleId="zzPageNumberLine">
    <w:name w:val="zz_PageNumberLine"/>
    <w:basedOn w:val="Fuzeile"/>
    <w:uiPriority w:val="99"/>
    <w:rsid w:val="0093605C"/>
    <w:pPr>
      <w:tabs>
        <w:tab w:val="clear" w:pos="4513"/>
        <w:tab w:val="clear" w:pos="9026"/>
        <w:tab w:val="center" w:pos="4536"/>
        <w:tab w:val="right" w:pos="9072"/>
      </w:tabs>
      <w:spacing w:before="480" w:line="240" w:lineRule="exact"/>
      <w:contextualSpacing/>
      <w:jc w:val="right"/>
    </w:pPr>
    <w:rPr>
      <w:rFonts w:eastAsiaTheme="minorHAnsi"/>
      <w:kern w:val="1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58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ebherr.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C8F3B49DA3E4045BE85884E8CBB3476" ma:contentTypeVersion="9" ma:contentTypeDescription="Ein neues Dokument erstellen." ma:contentTypeScope="" ma:versionID="d49ceb3bc054eb9d032b064204521fbf">
  <xsd:schema xmlns:xsd="http://www.w3.org/2001/XMLSchema" xmlns:xs="http://www.w3.org/2001/XMLSchema" xmlns:p="http://schemas.microsoft.com/office/2006/metadata/properties" xmlns:ns2="ea8374bc-d48d-43d1-ac0e-f941f0c1857e" targetNamespace="http://schemas.microsoft.com/office/2006/metadata/properties" ma:root="true" ma:fieldsID="c8709200ec8858b472ff7a5798ee8146" ns2:_="">
    <xsd:import namespace="ea8374bc-d48d-43d1-ac0e-f941f0c185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EventHashCode" minOccurs="0"/>
                <xsd:element ref="ns2:MediaServiceOCR"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374bc-d48d-43d1-ac0e-f941f0c18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8374bc-d48d-43d1-ac0e-f941f0c185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B9524C-C384-41B4-8474-425A4D9F89BA}">
  <ds:schemaRefs>
    <ds:schemaRef ds:uri="http://schemas.openxmlformats.org/officeDocument/2006/bibliography"/>
  </ds:schemaRefs>
</ds:datastoreItem>
</file>

<file path=customXml/itemProps2.xml><?xml version="1.0" encoding="utf-8"?>
<ds:datastoreItem xmlns:ds="http://schemas.openxmlformats.org/officeDocument/2006/customXml" ds:itemID="{348A2492-AA1E-41D6-B1EB-3744C09249E9}"/>
</file>

<file path=customXml/itemProps3.xml><?xml version="1.0" encoding="utf-8"?>
<ds:datastoreItem xmlns:ds="http://schemas.openxmlformats.org/officeDocument/2006/customXml" ds:itemID="{239B63BE-AFB5-4E52-A3C5-7287CD84742B}"/>
</file>

<file path=customXml/itemProps4.xml><?xml version="1.0" encoding="utf-8"?>
<ds:datastoreItem xmlns:ds="http://schemas.openxmlformats.org/officeDocument/2006/customXml" ds:itemID="{DC3CE628-472A-441B-8696-654FE48A231F}"/>
</file>

<file path=docProps/app.xml><?xml version="1.0" encoding="utf-8"?>
<Properties xmlns="http://schemas.openxmlformats.org/officeDocument/2006/extended-properties" xmlns:vt="http://schemas.openxmlformats.org/officeDocument/2006/docPropsVTypes">
  <Template>Normal.dotm</Template>
  <TotalTime>0</TotalTime>
  <Pages>4</Pages>
  <Words>804</Words>
  <Characters>5067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Headlin</vt:lpstr>
    </vt:vector>
  </TitlesOfParts>
  <Company>Liebherr</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dc:title>
  <dc:subject/>
  <dc:creator>Goetz Manuel (LHO)</dc:creator>
  <cp:keywords/>
  <dc:description/>
  <cp:lastModifiedBy>Nordmann Berenike (LWE)</cp:lastModifiedBy>
  <cp:revision>3</cp:revision>
  <dcterms:created xsi:type="dcterms:W3CDTF">2026-06-12T06:12:00Z</dcterms:created>
  <dcterms:modified xsi:type="dcterms:W3CDTF">2026-06-12T06:18:00Z</dcterms:modified>
  <cp:category>Presseinformation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for internal use</vt:lpwstr>
  </property>
  <property fmtid="{D5CDD505-2E9C-101B-9397-08002B2CF9AE}" pid="3" name="ContentTypeId">
    <vt:lpwstr>0x010100AC8F3B49DA3E4045BE85884E8CBB3476</vt:lpwstr>
  </property>
</Properties>
</file>